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(da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sottoscritta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C.so Don Minzoni,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F04851" w:rsidRDefault="0057372F" w:rsidP="0057372F">
      <w:pPr>
        <w:rPr>
          <w:rFonts w:ascii="Bookman Old Style" w:hAnsi="Bookman Old Style"/>
        </w:rPr>
      </w:pPr>
      <w:r w:rsidRPr="00F04851">
        <w:rPr>
          <w:rFonts w:ascii="Bookman Old Style" w:hAnsi="Bookman Old Style"/>
        </w:rPr>
        <w:t>(inoltro a mezzo PEC)</w:t>
      </w:r>
    </w:p>
    <w:p w14:paraId="20118385" w14:textId="77777777" w:rsidR="0057372F" w:rsidRPr="00F04851" w:rsidRDefault="0057372F" w:rsidP="0057372F">
      <w:pPr>
        <w:rPr>
          <w:rFonts w:ascii="Bookman Old Style" w:hAnsi="Bookman Old Style"/>
        </w:rPr>
      </w:pPr>
    </w:p>
    <w:p w14:paraId="49796E22" w14:textId="77777777" w:rsidR="001F4B49" w:rsidRPr="00F04851" w:rsidRDefault="00545C86" w:rsidP="001F4B49">
      <w:pPr>
        <w:contextualSpacing/>
        <w:rPr>
          <w:rFonts w:ascii="Bookman Old Style" w:hAnsi="Bookman Old Style" w:cstheme="minorHAnsi"/>
          <w:b/>
          <w:u w:val="single"/>
        </w:rPr>
      </w:pPr>
      <w:r w:rsidRPr="00F04851">
        <w:rPr>
          <w:rFonts w:ascii="Bookman Old Style" w:hAnsi="Bookman Old Style" w:cstheme="minorHAnsi"/>
          <w:b/>
          <w:u w:val="single"/>
        </w:rPr>
        <w:t>N.B.: Compilare ove applicabile, barrare (/) ove non applicabile</w:t>
      </w:r>
    </w:p>
    <w:p w14:paraId="5282D801" w14:textId="77777777" w:rsidR="00545C86" w:rsidRPr="00F04851" w:rsidRDefault="00545C86" w:rsidP="001F4B49">
      <w:pPr>
        <w:contextualSpacing/>
        <w:rPr>
          <w:rFonts w:ascii="Bookman Old Style" w:hAnsi="Bookman Old Style" w:cstheme="minorHAnsi"/>
          <w:highlight w:val="green"/>
        </w:rPr>
      </w:pPr>
    </w:p>
    <w:p w14:paraId="00A58D6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Il/La sottoscritto/a ______________________________</w:t>
      </w:r>
      <w:r w:rsidR="000D3F23" w:rsidRPr="00F04851">
        <w:rPr>
          <w:rFonts w:ascii="Bookman Old Style" w:hAnsi="Bookman Old Style" w:cstheme="minorHAnsi"/>
        </w:rPr>
        <w:t>________________________</w:t>
      </w:r>
    </w:p>
    <w:p w14:paraId="6A2EAFF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nato/a a ____________________</w:t>
      </w:r>
      <w:r w:rsidR="000D3F23" w:rsidRPr="00F04851">
        <w:rPr>
          <w:rFonts w:ascii="Bookman Old Style" w:hAnsi="Bookman Old Style" w:cstheme="minorHAnsi"/>
        </w:rPr>
        <w:t>_________________________________________</w:t>
      </w:r>
    </w:p>
    <w:p w14:paraId="1C2160C3"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 ________________</w:t>
      </w:r>
      <w:r w:rsidR="000D3F23" w:rsidRPr="00F04851">
        <w:rPr>
          <w:rFonts w:ascii="Bookman Old Style" w:hAnsi="Bookman Old Style" w:cstheme="minorHAnsi"/>
        </w:rPr>
        <w:t>____________________________________________________</w:t>
      </w:r>
    </w:p>
    <w:p w14:paraId="4789E97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________________________________________</w:t>
      </w:r>
      <w:r w:rsidR="000D3F23" w:rsidRPr="00F04851">
        <w:rPr>
          <w:rFonts w:ascii="Bookman Old Style" w:hAnsi="Bookman Old Style" w:cstheme="minorHAnsi"/>
        </w:rPr>
        <w:t>__________________</w:t>
      </w:r>
    </w:p>
    <w:p w14:paraId="10CE3ECB"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nella sua qualità di ______________________________________________________</w:t>
      </w:r>
    </w:p>
    <w:p w14:paraId="534BACF0" w14:textId="44911C13"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(eventuale) della società/Studio associato/Consorzio __________________________</w:t>
      </w:r>
    </w:p>
    <w:p w14:paraId="19366010"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n. _________________________________________________________</w:t>
      </w:r>
    </w:p>
    <w:p w14:paraId="560FF65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partita IVA n. ___________________________________________________________</w:t>
      </w:r>
    </w:p>
    <w:p w14:paraId="3D6B429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con sede in _____________________________________________________________</w:t>
      </w:r>
    </w:p>
    <w:p w14:paraId="56E6C83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via ____________________________________________________________________</w:t>
      </w:r>
    </w:p>
    <w:p w14:paraId="6E9CB223" w14:textId="1720AD5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tel. _______________________________________________________________</w:t>
      </w:r>
    </w:p>
    <w:p w14:paraId="0C6ACAB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indirizzo e-mail __________________________________________________________</w:t>
      </w:r>
    </w:p>
    <w:p w14:paraId="77EFE528"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PEC _________________________________________________________________</w:t>
      </w:r>
      <w:r w:rsidR="000D3F23" w:rsidRPr="00F04851">
        <w:rPr>
          <w:rFonts w:ascii="Bookman Old Style" w:hAnsi="Bookman Old Style" w:cstheme="minorHAnsi"/>
        </w:rPr>
        <w:t>__</w:t>
      </w:r>
    </w:p>
    <w:p w14:paraId="3ED0177E" w14:textId="77777777" w:rsidR="00851303" w:rsidRPr="00F04851" w:rsidRDefault="00851303" w:rsidP="00205A5E">
      <w:pPr>
        <w:contextualSpacing/>
        <w:jc w:val="both"/>
        <w:rPr>
          <w:rFonts w:ascii="Bookman Old Style" w:hAnsi="Bookman Old Style" w:cstheme="minorHAnsi"/>
          <w:b/>
        </w:rPr>
      </w:pPr>
    </w:p>
    <w:p w14:paraId="1B34FC18" w14:textId="36C433BD" w:rsidR="005C1A1D" w:rsidRPr="005C1A1D" w:rsidRDefault="00210D2D" w:rsidP="005C1A1D">
      <w:pPr>
        <w:contextualSpacing/>
        <w:jc w:val="both"/>
        <w:rPr>
          <w:rFonts w:ascii="Bookman Old Style" w:hAnsi="Bookman Old Style"/>
          <w:b/>
          <w:color w:val="1C1C1C"/>
        </w:rPr>
      </w:pPr>
      <w:r w:rsidRPr="00F04851">
        <w:rPr>
          <w:rFonts w:ascii="Bookman Old Style" w:hAnsi="Bookman Old Style" w:cstheme="minorHAnsi"/>
          <w:b/>
        </w:rPr>
        <w:t>Presenta</w:t>
      </w:r>
      <w:r w:rsidR="0012583F" w:rsidRPr="00F04851">
        <w:rPr>
          <w:rFonts w:ascii="Bookman Old Style" w:hAnsi="Bookman Old Style" w:cstheme="minorHAnsi"/>
          <w:b/>
        </w:rPr>
        <w:t xml:space="preserve"> la propria </w:t>
      </w:r>
      <w:r w:rsidR="00503429">
        <w:rPr>
          <w:rFonts w:ascii="Bookman Old Style" w:hAnsi="Bookman Old Style" w:cstheme="minorHAnsi"/>
          <w:b/>
        </w:rPr>
        <w:t>manifestazione d’interesse a</w:t>
      </w:r>
      <w:r w:rsidR="00C477FC" w:rsidRPr="00F04851">
        <w:rPr>
          <w:rFonts w:ascii="Bookman Old Style" w:hAnsi="Bookman Old Style" w:cstheme="minorHAnsi"/>
          <w:b/>
        </w:rPr>
        <w:t>l</w:t>
      </w:r>
      <w:r w:rsidR="00503429">
        <w:rPr>
          <w:rFonts w:ascii="Bookman Old Style" w:hAnsi="Bookman Old Style" w:cstheme="minorHAnsi"/>
          <w:b/>
        </w:rPr>
        <w:t>l’</w:t>
      </w:r>
      <w:r w:rsidR="00503429" w:rsidRPr="00503429">
        <w:rPr>
          <w:rFonts w:ascii="Bookman Old Style" w:hAnsi="Bookman Old Style" w:cstheme="minorHAnsi"/>
          <w:b/>
        </w:rPr>
        <w:t xml:space="preserve">Avviso Pubblico esplorativo finalizzato </w:t>
      </w:r>
      <w:r w:rsidR="0021630A" w:rsidRPr="0021630A">
        <w:rPr>
          <w:rFonts w:ascii="Bookman Old Style" w:hAnsi="Bookman Old Style" w:cstheme="minorHAnsi"/>
          <w:b/>
        </w:rPr>
        <w:t xml:space="preserve">all’individuazione di Operatori Economici da consultare ai fini della indizione di una successiva procedura negoziata senza bando ai sensi dell’articolo 50 C. 1 lett.e) D. Lgs. 36/2023 </w:t>
      </w:r>
      <w:r w:rsidR="0021630A">
        <w:rPr>
          <w:rFonts w:ascii="Bookman Old Style" w:hAnsi="Bookman Old Style" w:cstheme="minorHAnsi"/>
          <w:b/>
        </w:rPr>
        <w:t>per la</w:t>
      </w:r>
      <w:r w:rsidR="0021630A" w:rsidRPr="0021630A">
        <w:rPr>
          <w:rFonts w:ascii="Bookman Old Style" w:hAnsi="Bookman Old Style" w:cstheme="minorHAnsi"/>
          <w:b/>
        </w:rPr>
        <w:t xml:space="preserve"> conclusione di un accordo quadro con più operatori economici ai sensi dell’art. 59, c. 4, lett. a) del D.Lgs. 36/2023 e s.m.i. in base al quale affidare, a seguito di appalti specifici, la fornitura ed eventuale montaggio di pneumatici nuovi e ricostruiti per mezzi aziendali e riparazione pneumatici danneggiati</w:t>
      </w:r>
      <w:r w:rsidR="0021630A">
        <w:rPr>
          <w:rFonts w:ascii="Bookman Old Style" w:hAnsi="Bookman Old Style" w:cstheme="minorHAnsi"/>
          <w:b/>
        </w:rPr>
        <w:t>.</w:t>
      </w:r>
    </w:p>
    <w:p w14:paraId="5AB7E8D4" w14:textId="77777777" w:rsidR="005C1A1D" w:rsidRPr="005C1A1D" w:rsidRDefault="005C1A1D" w:rsidP="005C1A1D">
      <w:pPr>
        <w:contextualSpacing/>
        <w:jc w:val="both"/>
        <w:rPr>
          <w:rFonts w:ascii="Bookman Old Style" w:hAnsi="Bookman Old Style"/>
          <w:b/>
          <w:color w:val="1C1C1C"/>
        </w:rPr>
      </w:pPr>
    </w:p>
    <w:p w14:paraId="2F2FFCAE" w14:textId="4D68676B" w:rsidR="00596B57" w:rsidRPr="00596B57" w:rsidRDefault="00596B57" w:rsidP="00596B57">
      <w:pPr>
        <w:contextualSpacing/>
        <w:jc w:val="both"/>
        <w:rPr>
          <w:rFonts w:ascii="Bookman Old Style" w:hAnsi="Bookman Old Style" w:cstheme="minorHAnsi"/>
          <w:b/>
        </w:rPr>
      </w:pPr>
    </w:p>
    <w:p w14:paraId="6867DDAA" w14:textId="77777777" w:rsidR="00A17395" w:rsidRPr="00F04851" w:rsidRDefault="00A17395" w:rsidP="001F4B49">
      <w:pPr>
        <w:contextualSpacing/>
        <w:rPr>
          <w:rFonts w:ascii="Bookman Old Style" w:hAnsi="Bookman Old Style" w:cstheme="minorHAnsi"/>
          <w:b/>
          <w:bCs/>
        </w:rPr>
      </w:pPr>
    </w:p>
    <w:p w14:paraId="73AFC342" w14:textId="77777777" w:rsidR="008D4C2E" w:rsidRPr="00F04851" w:rsidRDefault="008D4C2E" w:rsidP="001F4B49">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38E2A886" w14:textId="5ACA12D4" w:rsidR="00545C86" w:rsidRPr="00F04851" w:rsidRDefault="00545C86" w:rsidP="00545C86">
      <w:pPr>
        <w:contextualSpacing/>
        <w:jc w:val="center"/>
        <w:rPr>
          <w:rFonts w:ascii="Bookman Old Style" w:hAnsi="Bookman Old Style" w:cstheme="minorHAnsi"/>
          <w:b/>
        </w:rPr>
      </w:pPr>
      <w:r w:rsidRPr="00F04851">
        <w:rPr>
          <w:rFonts w:ascii="Bookman Old Style" w:hAnsi="Bookman Old Style" w:cstheme="minorHAnsi"/>
          <w:b/>
        </w:rPr>
        <w:t xml:space="preserve">(ai sensi degli artt. </w:t>
      </w:r>
      <w:r w:rsidR="00C03714">
        <w:rPr>
          <w:rFonts w:ascii="Bookman Old Style" w:hAnsi="Bookman Old Style" w:cstheme="minorHAnsi"/>
          <w:b/>
        </w:rPr>
        <w:t xml:space="preserve">38, </w:t>
      </w:r>
      <w:r w:rsidRPr="00F04851">
        <w:rPr>
          <w:rFonts w:ascii="Bookman Old Style" w:hAnsi="Bookman Old Style" w:cstheme="minorHAnsi"/>
          <w:b/>
        </w:rPr>
        <w:t>46 e 47 del D.P.R. n. 445/2000 e s.m.i.)</w:t>
      </w:r>
    </w:p>
    <w:p w14:paraId="6A67E5BC" w14:textId="6535C4C1" w:rsidR="008D4C2E" w:rsidRPr="00F04851" w:rsidRDefault="008D4C2E" w:rsidP="001F4B49">
      <w:pPr>
        <w:contextualSpacing/>
        <w:jc w:val="center"/>
        <w:rPr>
          <w:rFonts w:ascii="Bookman Old Style" w:hAnsi="Bookman Old Style" w:cstheme="minorHAnsi"/>
          <w:b/>
        </w:rPr>
      </w:pPr>
    </w:p>
    <w:p w14:paraId="2EE53AF5" w14:textId="77777777" w:rsidR="00CC7E81" w:rsidRPr="00F04851"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highlight w:val="yellow"/>
          <w:lang w:eastAsia="zh-CN" w:bidi="hi-IN"/>
        </w:rPr>
      </w:pPr>
    </w:p>
    <w:p w14:paraId="239D2489" w14:textId="77777777" w:rsidR="00172A47" w:rsidRPr="00346359" w:rsidRDefault="00172A47" w:rsidP="00172A47">
      <w:pPr>
        <w:pStyle w:val="Paragrafoelenco"/>
        <w:numPr>
          <w:ilvl w:val="0"/>
          <w:numId w:val="9"/>
        </w:numPr>
        <w:contextualSpacing/>
        <w:rPr>
          <w:rFonts w:ascii="Bookman Old Style" w:hAnsi="Bookman Old Style"/>
          <w:b/>
          <w:color w:val="1C1C1C"/>
        </w:rPr>
      </w:pPr>
      <w:bookmarkStart w:id="0" w:name="_Hlk515626606"/>
      <w:r w:rsidRPr="00346359">
        <w:rPr>
          <w:rFonts w:ascii="Bookman Old Style" w:hAnsi="Bookman Old Style"/>
          <w:b/>
          <w:color w:val="1C1C1C"/>
        </w:rPr>
        <w:t>Assenza dei motivi di esclusione di cui agli articoli 94, 95 e 98 del D.Lgs. 36/2023;</w:t>
      </w:r>
    </w:p>
    <w:p w14:paraId="5E8F6B58" w14:textId="77777777" w:rsidR="00172A47" w:rsidRPr="00346359" w:rsidRDefault="00172A47" w:rsidP="00172A47">
      <w:pPr>
        <w:pStyle w:val="Paragrafoelenco"/>
        <w:numPr>
          <w:ilvl w:val="0"/>
          <w:numId w:val="9"/>
        </w:numPr>
        <w:spacing w:line="264" w:lineRule="auto"/>
        <w:contextualSpacing/>
        <w:jc w:val="both"/>
        <w:rPr>
          <w:rFonts w:ascii="Bookman Old Style" w:hAnsi="Bookman Old Style"/>
          <w:color w:val="1C1C1C"/>
        </w:rPr>
      </w:pPr>
      <w:r w:rsidRPr="00346359">
        <w:rPr>
          <w:rFonts w:ascii="Bookman Old Style" w:hAnsi="Bookman Old Style"/>
          <w:b/>
          <w:color w:val="1C1C1C"/>
        </w:rPr>
        <w:t xml:space="preserve">Possesso dei requisiti di idoneità professionale, economico- finanziari e tecnico professionali di cui all’art. 100 e ss. del D.Lgs. 36/2023: </w:t>
      </w:r>
    </w:p>
    <w:p w14:paraId="3F15E510" w14:textId="54CC93B0" w:rsidR="00172A47" w:rsidRPr="00346359" w:rsidRDefault="0021630A" w:rsidP="0021630A">
      <w:pPr>
        <w:pStyle w:val="Paragrafoelenco"/>
        <w:numPr>
          <w:ilvl w:val="0"/>
          <w:numId w:val="10"/>
        </w:numPr>
        <w:spacing w:line="264" w:lineRule="auto"/>
        <w:contextualSpacing/>
        <w:jc w:val="both"/>
        <w:rPr>
          <w:rFonts w:ascii="Bookman Old Style" w:hAnsi="Bookman Old Style"/>
          <w:color w:val="1C1C1C"/>
        </w:rPr>
      </w:pPr>
      <w:r w:rsidRPr="0021630A">
        <w:rPr>
          <w:rFonts w:ascii="Bookman Old Style" w:hAnsi="Bookman Old Style"/>
        </w:rPr>
        <w:t xml:space="preserve">Aver regolarmente eseguito nei dieci anni precedenti la data di indizione della gara forniture analoghe a quello oggetto della presente procedura per un </w:t>
      </w:r>
      <w:r w:rsidRPr="0021630A">
        <w:rPr>
          <w:rFonts w:ascii="Bookman Old Style" w:hAnsi="Bookman Old Style"/>
        </w:rPr>
        <w:lastRenderedPageBreak/>
        <w:t>importo complessivo non inferiore a Euro 2</w:t>
      </w:r>
      <w:r w:rsidR="002D14C7">
        <w:rPr>
          <w:rFonts w:ascii="Bookman Old Style" w:hAnsi="Bookman Old Style"/>
        </w:rPr>
        <w:t>75</w:t>
      </w:r>
      <w:r w:rsidRPr="0021630A">
        <w:rPr>
          <w:rFonts w:ascii="Bookman Old Style" w:hAnsi="Bookman Old Style"/>
        </w:rPr>
        <w:t>.000,00</w:t>
      </w:r>
      <w:r>
        <w:rPr>
          <w:rFonts w:ascii="Bookman Old Style" w:hAnsi="Bookman Old Style"/>
        </w:rPr>
        <w:t xml:space="preserve"> </w:t>
      </w:r>
      <w:r w:rsidR="008B1710" w:rsidRPr="00925668">
        <w:rPr>
          <w:rFonts w:ascii="Bookman Old Style" w:hAnsi="Bookman Old Style"/>
        </w:rPr>
        <w:t xml:space="preserve">sia a favore di soggetti pubblici che di quelli privati. </w:t>
      </w:r>
      <w:r w:rsidR="00172A47" w:rsidRPr="00925668">
        <w:rPr>
          <w:rFonts w:ascii="Bookman Old Style" w:hAnsi="Bookman Old Style"/>
          <w:color w:val="1C1C1C"/>
        </w:rPr>
        <w:t>La comprova</w:t>
      </w:r>
      <w:r w:rsidR="00172A47" w:rsidRPr="00346359">
        <w:rPr>
          <w:rFonts w:ascii="Bookman Old Style" w:hAnsi="Bookman Old Style"/>
          <w:color w:val="1C1C1C"/>
        </w:rPr>
        <w:t xml:space="preserve"> del/i suddetto/i requisito/i, è fornita in uno dei seguenti modi:</w:t>
      </w:r>
    </w:p>
    <w:p w14:paraId="46016556" w14:textId="77777777" w:rsidR="00172A47" w:rsidRPr="00346359"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t>A. In caso di servizi/forniture prestati a favore di pubbliche amministrazioni o enti pubblici, mediante una delle seguenti modalità: originale o copia conforme dei certificati rilasciati dall’amministrazione/ente contraente, con l’indicazione dell’oggetto, dell’importo e del periodo di esecuzione.</w:t>
      </w:r>
    </w:p>
    <w:p w14:paraId="3E997BDE" w14:textId="77777777" w:rsidR="00172A47" w:rsidRDefault="00172A47" w:rsidP="00172A47">
      <w:pPr>
        <w:spacing w:line="264" w:lineRule="auto"/>
        <w:ind w:left="851" w:hanging="142"/>
        <w:jc w:val="both"/>
        <w:rPr>
          <w:rFonts w:ascii="Bookman Old Style" w:hAnsi="Bookman Old Style"/>
          <w:color w:val="1C1C1C"/>
        </w:rPr>
      </w:pPr>
      <w:r w:rsidRPr="00346359">
        <w:rPr>
          <w:rFonts w:ascii="Bookman Old Style" w:hAnsi="Bookman Old Style"/>
          <w:color w:val="1C1C1C"/>
        </w:rPr>
        <w:t>B. In caso di servizi/forniture prestati a favore di committenti privati, mediante una delle seguenti modalità: originale o copia autentica dei certificati rilasciati dal committente privato, con l’indicazione dell’oggetto, dell’importo e del periodo di esecuzione.</w:t>
      </w:r>
    </w:p>
    <w:p w14:paraId="2131D582" w14:textId="497288F9" w:rsidR="00172A47" w:rsidRPr="00346359" w:rsidRDefault="00925668" w:rsidP="00172A47">
      <w:pPr>
        <w:spacing w:line="264" w:lineRule="auto"/>
        <w:ind w:left="645"/>
        <w:jc w:val="both"/>
        <w:rPr>
          <w:rFonts w:ascii="Bookman Old Style" w:hAnsi="Bookman Old Style"/>
          <w:color w:val="1C1C1C"/>
        </w:rPr>
      </w:pPr>
      <w:r>
        <w:rPr>
          <w:rFonts w:ascii="Bookman Old Style" w:hAnsi="Bookman Old Style"/>
          <w:b/>
          <w:color w:val="1C1C1C"/>
        </w:rPr>
        <w:t>b</w:t>
      </w:r>
      <w:r w:rsidR="00172A47" w:rsidRPr="00346359">
        <w:rPr>
          <w:rFonts w:ascii="Bookman Old Style" w:hAnsi="Bookman Old Style"/>
          <w:b/>
          <w:color w:val="1C1C1C"/>
        </w:rPr>
        <w:t>)</w:t>
      </w:r>
      <w:r w:rsidR="00172A47" w:rsidRPr="00346359">
        <w:rPr>
          <w:rFonts w:ascii="Bookman Old Style" w:hAnsi="Bookman Old Style"/>
          <w:color w:val="1C1C1C"/>
        </w:rPr>
        <w:t xml:space="preserve"> Possesso di tutti i requisiti di idoneità tecnico professionale secondo quanto previsto dall’art. 26 comma 1 lettera a) del D.Lgs. 9 aprile 2008 n° 81.</w:t>
      </w:r>
    </w:p>
    <w:p w14:paraId="0FD8983F" w14:textId="09EA17A9" w:rsidR="00172A47" w:rsidRPr="0021630A" w:rsidRDefault="0021630A" w:rsidP="00172A47">
      <w:pPr>
        <w:spacing w:line="264" w:lineRule="auto"/>
        <w:ind w:left="645"/>
        <w:jc w:val="both"/>
        <w:rPr>
          <w:rFonts w:ascii="Bookman Old Style" w:hAnsi="Bookman Old Style"/>
          <w:color w:val="1C1C1C"/>
          <w:u w:val="single"/>
        </w:rPr>
      </w:pPr>
      <w:r w:rsidRPr="0021630A">
        <w:rPr>
          <w:rFonts w:ascii="Bookman Old Style" w:hAnsi="Bookman Old Style"/>
          <w:b/>
          <w:color w:val="1C1C1C"/>
        </w:rPr>
        <w:t>c).</w:t>
      </w:r>
      <w:r w:rsidRPr="0021630A">
        <w:rPr>
          <w:rFonts w:ascii="Bookman Old Style" w:hAnsi="Bookman Old Style"/>
          <w:color w:val="1C1C1C"/>
        </w:rPr>
        <w:tab/>
      </w:r>
      <w:r w:rsidRPr="0021630A">
        <w:rPr>
          <w:rFonts w:ascii="Bookman Old Style" w:hAnsi="Bookman Old Style"/>
          <w:color w:val="1C1C1C"/>
          <w:u w:val="single"/>
        </w:rPr>
        <w:t>Impegno ad avere disponibilità di una officina con superficie non inferiore a 250 mq entro 15 km da calcolarsi rispetto alla sede ASP di c.so don Minzoni, 86  - 14100 Asti (da verificarsi mediante via Michelin). Tale impegno sarà verificato ai fini della stipula del successivo contratto d’appalto.</w:t>
      </w:r>
    </w:p>
    <w:p w14:paraId="1A95196B" w14:textId="77777777" w:rsidR="005C1A1D" w:rsidRDefault="005C1A1D" w:rsidP="0021630A">
      <w:pPr>
        <w:pStyle w:val="Default"/>
        <w:tabs>
          <w:tab w:val="left" w:pos="993"/>
        </w:tabs>
        <w:jc w:val="both"/>
        <w:rPr>
          <w:rFonts w:ascii="Bookman Old Style" w:hAnsi="Bookman Old Style" w:cs="Arial"/>
          <w:b/>
          <w:sz w:val="21"/>
          <w:szCs w:val="21"/>
        </w:rPr>
      </w:pPr>
    </w:p>
    <w:p w14:paraId="749A68C3" w14:textId="77777777" w:rsidR="0021630A" w:rsidRDefault="0021630A" w:rsidP="0021630A">
      <w:pPr>
        <w:pStyle w:val="Default"/>
        <w:tabs>
          <w:tab w:val="left" w:pos="993"/>
        </w:tabs>
        <w:jc w:val="both"/>
        <w:rPr>
          <w:rFonts w:ascii="Bookman Old Style" w:hAnsi="Bookman Old Style" w:cs="Arial"/>
          <w:b/>
          <w:sz w:val="21"/>
          <w:szCs w:val="21"/>
        </w:rPr>
      </w:pPr>
    </w:p>
    <w:p w14:paraId="62B1EDC9" w14:textId="4F4A46EC" w:rsidR="0021630A" w:rsidRDefault="0021630A" w:rsidP="0021630A">
      <w:pPr>
        <w:pStyle w:val="Default"/>
        <w:tabs>
          <w:tab w:val="left" w:pos="993"/>
        </w:tabs>
        <w:jc w:val="both"/>
        <w:rPr>
          <w:rFonts w:ascii="Bookman Old Style" w:hAnsi="Bookman Old Style" w:cs="Arial"/>
          <w:b/>
          <w:sz w:val="21"/>
          <w:szCs w:val="21"/>
        </w:rPr>
      </w:pPr>
      <w:r>
        <w:rPr>
          <w:rFonts w:ascii="Bookman Old Style" w:hAnsi="Bookman Old Style" w:cs="Arial"/>
          <w:b/>
          <w:sz w:val="21"/>
          <w:szCs w:val="21"/>
        </w:rPr>
        <w:t xml:space="preserve">   </w:t>
      </w:r>
      <w:r w:rsidR="00BC44C9">
        <w:rPr>
          <w:rFonts w:ascii="Bookman Old Style" w:hAnsi="Bookman Old Style" w:cs="Arial"/>
          <w:b/>
          <w:sz w:val="21"/>
          <w:szCs w:val="21"/>
        </w:rPr>
        <w:t xml:space="preserve">  -  di rispettare i seguenti requisiti di esecuzione del contratto:</w:t>
      </w:r>
    </w:p>
    <w:p w14:paraId="038E5C27" w14:textId="6F8F9ED4" w:rsidR="00BC44C9" w:rsidRDefault="00BC44C9" w:rsidP="00BC44C9">
      <w:pPr>
        <w:pStyle w:val="Default"/>
        <w:tabs>
          <w:tab w:val="left" w:pos="993"/>
        </w:tabs>
        <w:ind w:left="708"/>
        <w:jc w:val="both"/>
        <w:rPr>
          <w:rFonts w:ascii="Bookman Old Style" w:hAnsi="Bookman Old Style" w:cs="Arial"/>
          <w:b/>
          <w:sz w:val="21"/>
          <w:szCs w:val="21"/>
        </w:rPr>
      </w:pPr>
      <w:r w:rsidRPr="00BC44C9">
        <w:rPr>
          <w:rFonts w:ascii="Bookman Old Style" w:hAnsi="Bookman Old Style" w:cs="Arial"/>
          <w:sz w:val="21"/>
          <w:szCs w:val="21"/>
        </w:rPr>
        <w:t>l’</w:t>
      </w:r>
      <w:r w:rsidRPr="00BC44C9">
        <w:rPr>
          <w:rFonts w:ascii="Bookman Old Style" w:hAnsi="Bookman Old Style" w:cs="Times New Roman"/>
          <w:sz w:val="21"/>
          <w:szCs w:val="21"/>
        </w:rPr>
        <w:t xml:space="preserve">aggiudicatario dovrà dimostrare </w:t>
      </w:r>
      <w:r>
        <w:rPr>
          <w:rFonts w:ascii="Bookman Old Style" w:hAnsi="Bookman Old Style" w:cs="Times New Roman"/>
          <w:sz w:val="21"/>
          <w:szCs w:val="21"/>
        </w:rPr>
        <w:t xml:space="preserve">in fase esecutiva </w:t>
      </w:r>
      <w:r w:rsidRPr="00BC44C9">
        <w:rPr>
          <w:rFonts w:ascii="Bookman Old Style" w:hAnsi="Bookman Old Style" w:cs="Times New Roman"/>
          <w:sz w:val="21"/>
          <w:szCs w:val="21"/>
        </w:rPr>
        <w:t>di avere la disponibilità (di proprietà,   in locazione/noleggio o altre forme giuridiche che ne attestino il possesso anche temporaneo) di officina mobile attrezzata per riparazione itinerante dotata di attrezzature (generatore di aria compressa) e impianti (ad es. elettrico) a bordo omologati;</w:t>
      </w:r>
    </w:p>
    <w:p w14:paraId="05328E8E" w14:textId="77777777" w:rsidR="00BC44C9" w:rsidRPr="005C1A1D" w:rsidRDefault="00BC44C9" w:rsidP="00BC44C9">
      <w:pPr>
        <w:pStyle w:val="Default"/>
        <w:tabs>
          <w:tab w:val="left" w:pos="993"/>
        </w:tabs>
        <w:ind w:left="708"/>
        <w:jc w:val="both"/>
        <w:rPr>
          <w:rFonts w:ascii="Bookman Old Style" w:hAnsi="Bookman Old Style" w:cs="Arial"/>
          <w:b/>
          <w:sz w:val="21"/>
          <w:szCs w:val="21"/>
        </w:rPr>
      </w:pPr>
    </w:p>
    <w:p w14:paraId="2B990B3A" w14:textId="58BC51C8" w:rsidR="00C03714" w:rsidRPr="005E7990" w:rsidRDefault="00C03714" w:rsidP="005C1A1D">
      <w:pPr>
        <w:pStyle w:val="Default"/>
        <w:numPr>
          <w:ilvl w:val="0"/>
          <w:numId w:val="9"/>
        </w:numPr>
        <w:tabs>
          <w:tab w:val="left" w:pos="993"/>
        </w:tabs>
        <w:jc w:val="both"/>
        <w:rPr>
          <w:rFonts w:ascii="Bookman Old Style" w:hAnsi="Bookman Old Style"/>
          <w:sz w:val="22"/>
          <w:szCs w:val="22"/>
        </w:rPr>
      </w:pPr>
      <w:r w:rsidRPr="005E7990">
        <w:rPr>
          <w:rFonts w:ascii="Bookman Old Style" w:hAnsi="Bookman Old Style" w:cs="Times New Roman"/>
          <w:sz w:val="21"/>
          <w:szCs w:val="21"/>
        </w:rPr>
        <w:t>di autorizzare la trasmissione di eventuali comunicazioni inerenti la presente procedura, di qualunque natura, presso i seguenti recapiti: PEC ……………………………………... e-mail certificata …………….……………………………… e di eleggere domicilio al seguente indirizzo ………………….…….............................................................................................…;</w:t>
      </w:r>
    </w:p>
    <w:p w14:paraId="29506DD0" w14:textId="77777777" w:rsidR="00C03714" w:rsidRPr="005E7990" w:rsidRDefault="00C03714" w:rsidP="00C03714">
      <w:pPr>
        <w:tabs>
          <w:tab w:val="left" w:pos="284"/>
        </w:tabs>
        <w:autoSpaceDE w:val="0"/>
        <w:autoSpaceDN w:val="0"/>
        <w:adjustRightInd w:val="0"/>
        <w:jc w:val="both"/>
        <w:rPr>
          <w:rFonts w:ascii="Bookman Old Style" w:hAnsi="Bookman Old Style" w:cs="Tahoma"/>
          <w:color w:val="000000"/>
          <w:sz w:val="21"/>
          <w:szCs w:val="21"/>
        </w:rPr>
      </w:pPr>
    </w:p>
    <w:bookmarkEnd w:id="0"/>
    <w:p w14:paraId="333CD4DB" w14:textId="343ABDA2" w:rsidR="004B6B4C" w:rsidRPr="00F04851" w:rsidRDefault="0047702A" w:rsidP="001F4B49">
      <w:pPr>
        <w:contextualSpacing/>
        <w:jc w:val="both"/>
        <w:rPr>
          <w:rFonts w:ascii="Bookman Old Style" w:hAnsi="Bookman Old Style" w:cstheme="minorHAnsi"/>
        </w:rPr>
      </w:pPr>
      <w:r w:rsidRPr="00F04851">
        <w:rPr>
          <w:rFonts w:ascii="Bookman Old Style" w:hAnsi="Bookman Old Style" w:cstheme="minorHAnsi"/>
        </w:rPr>
        <w:t>Dichiara inoltre:</w:t>
      </w:r>
    </w:p>
    <w:p w14:paraId="3FBEA056" w14:textId="77777777" w:rsidR="000136BF" w:rsidRPr="00F04851" w:rsidRDefault="000136BF" w:rsidP="001F4B49">
      <w:pPr>
        <w:contextualSpacing/>
        <w:jc w:val="both"/>
        <w:rPr>
          <w:rFonts w:ascii="Bookman Old Style" w:hAnsi="Bookman Old Style" w:cstheme="minorHAnsi"/>
        </w:rPr>
      </w:pPr>
    </w:p>
    <w:p w14:paraId="50155FD6" w14:textId="77777777" w:rsidR="005E782C" w:rsidRPr="00F04851" w:rsidRDefault="0047702A" w:rsidP="00DF5CF9">
      <w:pPr>
        <w:numPr>
          <w:ilvl w:val="0"/>
          <w:numId w:val="1"/>
        </w:numPr>
        <w:contextualSpacing/>
        <w:jc w:val="both"/>
        <w:rPr>
          <w:rFonts w:ascii="Bookman Old Style" w:hAnsi="Bookman Old Style" w:cstheme="minorHAnsi"/>
        </w:rPr>
      </w:pPr>
      <w:r w:rsidRPr="00F04851">
        <w:rPr>
          <w:rFonts w:ascii="Bookman Old Style" w:hAnsi="Bookman Old Style" w:cstheme="minorHAnsi"/>
        </w:rPr>
        <w:t>di aver preso attenta visione dell’avviso di selezione e di accettare incondizionatamente tutte le disposizioni in esso contenute;</w:t>
      </w:r>
    </w:p>
    <w:p w14:paraId="5F0A71E0" w14:textId="77777777" w:rsidR="000136BF" w:rsidRPr="00F04851" w:rsidRDefault="000136BF" w:rsidP="000136BF">
      <w:pPr>
        <w:ind w:left="720"/>
        <w:contextualSpacing/>
        <w:jc w:val="both"/>
        <w:rPr>
          <w:rFonts w:ascii="Bookman Old Style" w:hAnsi="Bookman Old Style" w:cstheme="minorHAnsi"/>
        </w:rPr>
      </w:pPr>
    </w:p>
    <w:p w14:paraId="2EBF961D" w14:textId="77777777" w:rsidR="0047702A" w:rsidRPr="00F04851" w:rsidRDefault="0047702A" w:rsidP="00DF5CF9">
      <w:pPr>
        <w:numPr>
          <w:ilvl w:val="0"/>
          <w:numId w:val="1"/>
        </w:numPr>
        <w:contextualSpacing/>
        <w:jc w:val="both"/>
        <w:rPr>
          <w:rFonts w:ascii="Bookman Old Style" w:hAnsi="Bookman Old Style" w:cstheme="minorHAnsi"/>
        </w:rPr>
      </w:pPr>
      <w:r w:rsidRPr="00F04851">
        <w:rPr>
          <w:rFonts w:ascii="Bookman Old Style" w:hAnsi="Bookman Old Style" w:cstheme="minorHAnsi"/>
        </w:rPr>
        <w:t xml:space="preserve">di essere consapevole delle </w:t>
      </w:r>
      <w:r w:rsidR="00AA4F62" w:rsidRPr="00F04851">
        <w:rPr>
          <w:rFonts w:ascii="Bookman Old Style" w:hAnsi="Bookman Old Style" w:cstheme="minorHAnsi"/>
        </w:rPr>
        <w:t>sanzioni penali richiamate dall’</w:t>
      </w:r>
      <w:r w:rsidRPr="00F04851">
        <w:rPr>
          <w:rFonts w:ascii="Bookman Old Style" w:hAnsi="Bookman Old Style" w:cstheme="minorHAnsi"/>
        </w:rPr>
        <w:t>art. 76 del D.P.R. 445/2000 nel caso di dichiarazioni non veritiere e falsità in atti con riferimento a quanto sopra dichiarato.</w:t>
      </w:r>
    </w:p>
    <w:p w14:paraId="06EE940E" w14:textId="77777777" w:rsidR="00674780" w:rsidRPr="00F04851" w:rsidRDefault="00674780" w:rsidP="001F4B49">
      <w:pPr>
        <w:contextualSpacing/>
        <w:jc w:val="both"/>
        <w:rPr>
          <w:rFonts w:ascii="Bookman Old Style" w:hAnsi="Bookman Old Style" w:cstheme="minorHAnsi"/>
          <w:b/>
        </w:rPr>
      </w:pPr>
    </w:p>
    <w:p w14:paraId="09B29570" w14:textId="77777777" w:rsidR="00674780" w:rsidRPr="00F04851" w:rsidRDefault="00674780" w:rsidP="001F4B49">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31340D4" w14:textId="331C0B84" w:rsidR="00674780" w:rsidRPr="00F04851" w:rsidRDefault="00674780" w:rsidP="008C4A7F">
      <w:pPr>
        <w:contextualSpacing/>
        <w:jc w:val="center"/>
        <w:rPr>
          <w:rFonts w:ascii="Bookman Old Style" w:hAnsi="Bookman Old Style" w:cstheme="minorHAnsi"/>
          <w:b/>
        </w:rPr>
      </w:pPr>
      <w:r w:rsidRPr="00F04851">
        <w:rPr>
          <w:rFonts w:ascii="Bookman Old Style" w:hAnsi="Bookman Old Style" w:cstheme="minorHAnsi"/>
          <w:b/>
        </w:rPr>
        <w:t xml:space="preserve">ai sensi del Regolamento </w:t>
      </w:r>
      <w:r w:rsidR="008C4A7F" w:rsidRPr="00F04851">
        <w:rPr>
          <w:rFonts w:ascii="Bookman Old Style" w:hAnsi="Bookman Old Style" w:cstheme="minorHAnsi"/>
          <w:b/>
        </w:rPr>
        <w:t>Europeo</w:t>
      </w:r>
      <w:r w:rsidRPr="00F04851">
        <w:rPr>
          <w:rFonts w:ascii="Bookman Old Style" w:hAnsi="Bookman Old Style" w:cstheme="minorHAnsi"/>
          <w:b/>
        </w:rPr>
        <w:t xml:space="preserve"> 2016/679</w:t>
      </w:r>
    </w:p>
    <w:p w14:paraId="41077BD1" w14:textId="77777777" w:rsidR="00210D2D" w:rsidRPr="00F04851" w:rsidRDefault="00210D2D" w:rsidP="00751FDC">
      <w:pPr>
        <w:contextualSpacing/>
        <w:rPr>
          <w:rFonts w:ascii="Bookman Old Style" w:hAnsi="Bookman Old Style" w:cstheme="minorHAnsi"/>
        </w:rPr>
      </w:pPr>
    </w:p>
    <w:p w14:paraId="0B06A4D8" w14:textId="391A4CF7" w:rsidR="00751FDC" w:rsidRPr="00F04851" w:rsidRDefault="00674780" w:rsidP="00751FDC">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067AEDDF" w14:textId="2728E6AC" w:rsidR="00751FDC" w:rsidRPr="00F04851" w:rsidRDefault="00751FDC" w:rsidP="00DF5CF9">
      <w:pPr>
        <w:pStyle w:val="Paragrafoelenco"/>
        <w:numPr>
          <w:ilvl w:val="0"/>
          <w:numId w:val="4"/>
        </w:numPr>
        <w:contextualSpacing/>
        <w:jc w:val="both"/>
        <w:rPr>
          <w:rFonts w:ascii="Bookman Old Style" w:hAnsi="Bookman Old Style" w:cstheme="minorHAnsi"/>
        </w:rPr>
      </w:pPr>
      <w:r w:rsidRPr="00F04851">
        <w:rPr>
          <w:rFonts w:ascii="Bookman Old Style" w:hAnsi="Bookman Old Style" w:cstheme="minorHAnsi"/>
        </w:rPr>
        <w:t>di essere consapevole che i dati personali forniti o raccolti da</w:t>
      </w:r>
      <w:r w:rsidR="0057372F" w:rsidRPr="00F04851">
        <w:rPr>
          <w:rFonts w:ascii="Bookman Old Style" w:hAnsi="Bookman Old Style" w:cstheme="minorHAnsi"/>
        </w:rPr>
        <w:t xml:space="preserve"> ASP S.p.A.</w:t>
      </w:r>
      <w:r w:rsidRPr="00F04851">
        <w:rPr>
          <w:rFonts w:ascii="Bookman Old Style" w:hAnsi="Bookman Old Style" w:cstheme="minorHAnsi"/>
        </w:rPr>
        <w:t xml:space="preserve">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F04851" w:rsidRDefault="00751FDC"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lastRenderedPageBreak/>
        <w:t xml:space="preserve">di essere a conoscenza, ai sensi dell’artt. 13 e 14 del GDPR, che il Titolare del trattamento di dati personali è il </w:t>
      </w:r>
      <w:r w:rsidR="0057372F" w:rsidRPr="00F04851">
        <w:rPr>
          <w:rFonts w:ascii="Bookman Old Style" w:hAnsi="Bookman Old Style" w:cstheme="minorHAnsi"/>
        </w:rPr>
        <w:t>ASP S.p.A.</w:t>
      </w:r>
      <w:r w:rsidRPr="00F04851">
        <w:rPr>
          <w:rFonts w:ascii="Bookman Old Style" w:hAnsi="Bookman Old Style" w:cstheme="minorHAnsi"/>
        </w:rPr>
        <w:t xml:space="preserve">, con sede in </w:t>
      </w:r>
      <w:r w:rsidR="0057372F" w:rsidRPr="00F04851">
        <w:rPr>
          <w:rFonts w:ascii="Bookman Old Style" w:hAnsi="Bookman Old Style" w:cstheme="minorHAnsi"/>
        </w:rPr>
        <w:t>Asti</w:t>
      </w:r>
      <w:r w:rsidRPr="00F04851">
        <w:rPr>
          <w:rFonts w:ascii="Bookman Old Style" w:hAnsi="Bookman Old Style" w:cstheme="minorHAnsi"/>
        </w:rPr>
        <w:t xml:space="preserve">, Corso </w:t>
      </w:r>
      <w:r w:rsidR="0057372F" w:rsidRPr="00F04851">
        <w:rPr>
          <w:rFonts w:ascii="Bookman Old Style" w:hAnsi="Bookman Old Style" w:cstheme="minorHAnsi"/>
        </w:rPr>
        <w:t>Don Minzoni, 86</w:t>
      </w:r>
      <w:r w:rsidRPr="00F04851">
        <w:rPr>
          <w:rFonts w:ascii="Bookman Old Style" w:hAnsi="Bookman Old Style" w:cstheme="minorHAnsi"/>
        </w:rPr>
        <w:t xml:space="preserve"> </w:t>
      </w:r>
      <w:r w:rsidR="0057372F" w:rsidRPr="00F04851">
        <w:rPr>
          <w:rFonts w:ascii="Bookman Old Style" w:hAnsi="Bookman Old Style" w:cstheme="minorHAnsi"/>
        </w:rPr>
        <w:t>n</w:t>
      </w:r>
      <w:r w:rsidRPr="00F04851">
        <w:rPr>
          <w:rFonts w:ascii="Bookman Old Style" w:hAnsi="Bookman Old Style" w:cstheme="minorHAnsi"/>
        </w:rPr>
        <w:t>ella person</w:t>
      </w:r>
      <w:r w:rsidR="0057372F" w:rsidRPr="00F04851">
        <w:rPr>
          <w:rFonts w:ascii="Bookman Old Style" w:hAnsi="Bookman Old Style" w:cstheme="minorHAnsi"/>
        </w:rPr>
        <w:t>a del suo Legale Rappresentante.</w:t>
      </w:r>
    </w:p>
    <w:p w14:paraId="6E2A3B8A" w14:textId="2B4A20E8" w:rsidR="001E4D38" w:rsidRPr="00F04851"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aver preso visione ed accettare integralmente il contenuto della Informativa sulla Privacy </w:t>
      </w:r>
      <w:r w:rsidR="006F6A7C" w:rsidRPr="00F04851">
        <w:rPr>
          <w:rFonts w:ascii="Bookman Old Style" w:hAnsi="Bookman Old Style" w:cstheme="minorHAnsi"/>
        </w:rPr>
        <w:t>di seguito riportata</w:t>
      </w:r>
      <w:r w:rsidRPr="00F04851">
        <w:rPr>
          <w:rFonts w:ascii="Bookman Old Style" w:hAnsi="Bookman Old Style" w:cstheme="minorHAnsi"/>
        </w:rPr>
        <w:t>.</w:t>
      </w:r>
    </w:p>
    <w:p w14:paraId="5C5E0E30" w14:textId="77777777" w:rsidR="006F6A7C" w:rsidRPr="00F04851"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F04851" w14:paraId="0344EE15" w14:textId="77777777" w:rsidTr="003F377C">
        <w:trPr>
          <w:trHeight w:val="340"/>
          <w:jc w:val="center"/>
        </w:trPr>
        <w:tc>
          <w:tcPr>
            <w:tcW w:w="9778" w:type="dxa"/>
            <w:shd w:val="clear" w:color="auto" w:fill="D9D9D9"/>
            <w:vAlign w:val="center"/>
          </w:tcPr>
          <w:p w14:paraId="7B5EEA06" w14:textId="12FBAE65" w:rsidR="006F6A7C" w:rsidRPr="00F04851" w:rsidRDefault="006F6A7C" w:rsidP="006F6A7C">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066E3F86" w14:textId="77777777" w:rsidR="006F6A7C" w:rsidRPr="00F04851" w:rsidRDefault="006F6A7C" w:rsidP="006F6A7C">
      <w:pPr>
        <w:rPr>
          <w:rFonts w:ascii="Bookman Old Style" w:hAnsi="Bookman Old Style" w:cs="Arial"/>
          <w:b/>
        </w:rPr>
      </w:pPr>
    </w:p>
    <w:p w14:paraId="090EDF3D" w14:textId="572A04AF" w:rsidR="006F6A7C" w:rsidRPr="00F04851" w:rsidRDefault="006F6A7C" w:rsidP="006F6A7C">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1A96E521" w14:textId="77777777" w:rsidR="006F6A7C" w:rsidRPr="00F04851" w:rsidRDefault="006F6A7C" w:rsidP="006F6A7C">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Informativa sul trattamento dei dati personali ai sensi del D.Lgs. 196/2003 e del Regolamento U.E. n. 2016/679.</w:t>
      </w:r>
    </w:p>
    <w:p w14:paraId="5C03B52B" w14:textId="77777777" w:rsidR="006F6A7C" w:rsidRPr="00F04851" w:rsidRDefault="006F6A7C" w:rsidP="006F6A7C">
      <w:pPr>
        <w:rPr>
          <w:rFonts w:ascii="Bookman Old Style" w:hAnsi="Bookman Old Style" w:cs="Arial"/>
          <w:b/>
        </w:rPr>
      </w:pPr>
    </w:p>
    <w:p w14:paraId="154A2A6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 Regolamento UE/2016/679, del D. Lgs. 30 giugno 2003, n. 196 e ss.mm.ii. del D. Lgs. 10 agosto 2018, n. 101, in materia di trattamento dei dati personali, si forniscono le seguenti informazioni, relative alle motivazioni per le quali verranno trattati i dati personali, ai diritti dell’interessato e come lo stesso può esercitarli. </w:t>
      </w:r>
    </w:p>
    <w:p w14:paraId="594AA8CF" w14:textId="77777777" w:rsidR="006F6A7C" w:rsidRPr="00F04851" w:rsidRDefault="006F6A7C" w:rsidP="006F6A7C">
      <w:pPr>
        <w:jc w:val="both"/>
        <w:rPr>
          <w:rFonts w:ascii="Bookman Old Style" w:hAnsi="Bookman Old Style" w:cs="Arial"/>
        </w:rPr>
      </w:pPr>
    </w:p>
    <w:p w14:paraId="203AE7C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-Titolare del Trattamento: ASTI SERVIZI PUBBLICI S.P.A. (siglabile “A.S.P. s.p.a.”), con sede legale in Asti, C.so Don Minzoni n. 86, 14100 Asti (Italia), tel. 0141.434611, fax 0141/434666, e-mail: info@asp.asti.it, pec: asp.asti@pec.it, nella persona dell’Amministratore Delegato pro tempore, i cui dati identificati e di contatto sono disponibili sul sito web www.asp.asti.it – sezione Società Trasparente.</w:t>
      </w:r>
    </w:p>
    <w:p w14:paraId="0EDAFB04" w14:textId="77777777" w:rsidR="006F6A7C" w:rsidRPr="00F04851" w:rsidRDefault="006F6A7C" w:rsidP="006F6A7C">
      <w:pPr>
        <w:jc w:val="both"/>
        <w:rPr>
          <w:rFonts w:ascii="Bookman Old Style" w:hAnsi="Bookman Old Style" w:cs="Arial"/>
        </w:rPr>
      </w:pPr>
    </w:p>
    <w:p w14:paraId="01DC78A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-Responsabile della Protezione dei Dati (DPO): </w:t>
      </w:r>
    </w:p>
    <w:p w14:paraId="020CB0D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BE85D8E" w14:textId="77777777" w:rsidR="006F6A7C" w:rsidRPr="00F04851" w:rsidRDefault="006F6A7C" w:rsidP="006F6A7C">
      <w:pPr>
        <w:jc w:val="both"/>
        <w:rPr>
          <w:rFonts w:ascii="Bookman Old Style" w:hAnsi="Bookman Old Style" w:cs="Arial"/>
        </w:rPr>
      </w:pPr>
    </w:p>
    <w:p w14:paraId="5C59E55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Finalità e base giuridica del trattamento dei dati</w:t>
      </w:r>
    </w:p>
    <w:p w14:paraId="7FBF840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sono necessari per gli adempimenti previsti per legge in relazione all’appalto in oggetto e, qualora non forniti, impedirebbero la partecipazione alla procedura di gara, l’affidamento, la stipula e l’esecuzione del contratto (6 par. 1 lett. b, del GDPR).</w:t>
      </w:r>
    </w:p>
    <w:p w14:paraId="59C3B12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436FDB0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3532FF7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07FB3EE" w14:textId="77777777" w:rsidR="006F6A7C" w:rsidRPr="00F04851" w:rsidRDefault="006F6A7C" w:rsidP="006F6A7C">
      <w:pPr>
        <w:jc w:val="both"/>
        <w:rPr>
          <w:rFonts w:ascii="Bookman Old Style" w:hAnsi="Bookman Old Style" w:cs="Arial"/>
        </w:rPr>
      </w:pPr>
    </w:p>
    <w:p w14:paraId="3E26655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Trasferimento dei dati</w:t>
      </w:r>
    </w:p>
    <w:p w14:paraId="62097C3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dal’atto per i </w:t>
      </w:r>
      <w:r w:rsidRPr="00F04851">
        <w:rPr>
          <w:rFonts w:ascii="Bookman Old Style" w:hAnsi="Bookman Old Style" w:cs="Arial"/>
        </w:rPr>
        <w:lastRenderedPageBreak/>
        <w:t>quali vengono forniti (es. avvocati in caso di contenziosi, consulenti tecnici, società di recupero crediti etc..).</w:t>
      </w:r>
    </w:p>
    <w:p w14:paraId="20EF1A3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Diffusione dei dati personali</w:t>
      </w:r>
    </w:p>
    <w:p w14:paraId="6F82C4C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F04851" w:rsidRDefault="006F6A7C" w:rsidP="006F6A7C">
      <w:pPr>
        <w:jc w:val="both"/>
        <w:rPr>
          <w:rFonts w:ascii="Bookman Old Style" w:hAnsi="Bookman Old Style" w:cs="Arial"/>
        </w:rPr>
      </w:pPr>
    </w:p>
    <w:p w14:paraId="7DCE5BE9"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Modalità del trattamento:</w:t>
      </w:r>
    </w:p>
    <w:p w14:paraId="70A8E26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A02142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A.S.P. S.p.A. non adotta alcun processo decisionale automatizzato, compresa la profilazione, di cui all’art. 22, par. 1 e 4 del Regolamento.</w:t>
      </w:r>
    </w:p>
    <w:p w14:paraId="7AC84905" w14:textId="77777777" w:rsidR="006F6A7C" w:rsidRPr="00F04851" w:rsidRDefault="006F6A7C" w:rsidP="006F6A7C">
      <w:pPr>
        <w:jc w:val="both"/>
        <w:rPr>
          <w:rFonts w:ascii="Bookman Old Style" w:hAnsi="Bookman Old Style" w:cs="Arial"/>
        </w:rPr>
      </w:pPr>
    </w:p>
    <w:p w14:paraId="70A64FA8"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Tempi di conservazione dei dati </w:t>
      </w:r>
    </w:p>
    <w:p w14:paraId="374AD03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F04851" w:rsidRDefault="006F6A7C" w:rsidP="006F6A7C">
      <w:pPr>
        <w:jc w:val="both"/>
        <w:rPr>
          <w:rFonts w:ascii="Bookman Old Style" w:hAnsi="Bookman Old Style" w:cs="Arial"/>
        </w:rPr>
      </w:pPr>
    </w:p>
    <w:p w14:paraId="5115434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Diritti degli Interessati:</w:t>
      </w:r>
    </w:p>
    <w:p w14:paraId="37C1DB4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accesso ai dati personali (art. 15 del G.D.P.R.);</w:t>
      </w:r>
    </w:p>
    <w:p w14:paraId="304685F2"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opporsi al trattamento (art. 21 del G.D.P.R.);</w:t>
      </w:r>
    </w:p>
    <w:p w14:paraId="744148E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alla portabilità dei dati (art. 20 del G.D.P.R.);</w:t>
      </w:r>
    </w:p>
    <w:p w14:paraId="0797FE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proporre reclamo all'Autorità di controllo (Garante della Privacy) (art. 15, par. 1, lett. f), del G.D.P.R.).</w:t>
      </w:r>
    </w:p>
    <w:p w14:paraId="03C75C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ogni altro diritto riconosciutagli dall’ordinamento vigente.</w:t>
      </w:r>
    </w:p>
    <w:p w14:paraId="122EA311"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L’esercizio dei diritti sopra indicati potrà avvenire attraverso l’invio di una richiesta mediante e-mail o Pec, o altro mezzo di ricezione, indirizzata al Titolare del Trattamento o al Responsabile della Protezione dei Dati, come sopra individuati.</w:t>
      </w:r>
    </w:p>
    <w:p w14:paraId="223289C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F04851" w:rsidRDefault="006F6A7C" w:rsidP="006F6A7C">
      <w:pPr>
        <w:rPr>
          <w:rFonts w:ascii="Bookman Old Style" w:hAnsi="Bookman Old Style" w:cs="Arial"/>
        </w:rPr>
      </w:pPr>
    </w:p>
    <w:p w14:paraId="7615CB6E" w14:textId="77777777" w:rsidR="00EA2D73" w:rsidRPr="00F04851" w:rsidRDefault="00EA2D73" w:rsidP="00EA2D73">
      <w:pPr>
        <w:contextualSpacing/>
        <w:jc w:val="both"/>
        <w:rPr>
          <w:rFonts w:ascii="Bookman Old Style" w:hAnsi="Bookman Old Style" w:cstheme="minorHAnsi"/>
          <w:color w:val="FF0000"/>
        </w:rPr>
      </w:pPr>
    </w:p>
    <w:p w14:paraId="433F7B2E" w14:textId="06279F63" w:rsidR="00FC14CB" w:rsidRPr="00F04851" w:rsidRDefault="00210D2D" w:rsidP="00027AE5">
      <w:pPr>
        <w:ind w:left="4956"/>
        <w:contextualSpacing/>
        <w:jc w:val="center"/>
        <w:rPr>
          <w:rFonts w:ascii="Bookman Old Style" w:hAnsi="Bookman Old Style" w:cstheme="minorHAnsi"/>
        </w:rPr>
      </w:pPr>
      <w:r w:rsidRPr="00F04851">
        <w:rPr>
          <w:rFonts w:ascii="Bookman Old Style" w:hAnsi="Bookman Old Style" w:cstheme="minorHAnsi"/>
        </w:rPr>
        <w:t xml:space="preserve">         </w:t>
      </w:r>
      <w:r w:rsidR="005E1EE2" w:rsidRPr="00F04851">
        <w:rPr>
          <w:rFonts w:ascii="Bookman Old Style" w:hAnsi="Bookman Old Style" w:cstheme="minorHAnsi"/>
        </w:rPr>
        <w:t>Firmato digitalmente</w:t>
      </w:r>
    </w:p>
    <w:p w14:paraId="756572F1" w14:textId="77777777" w:rsidR="00FC14CB" w:rsidRPr="00F04851" w:rsidRDefault="00FC14CB" w:rsidP="001F4B49">
      <w:pPr>
        <w:contextualSpacing/>
        <w:jc w:val="both"/>
        <w:rPr>
          <w:rFonts w:ascii="Bookman Old Style" w:hAnsi="Bookman Old Style" w:cstheme="minorHAnsi"/>
        </w:rPr>
      </w:pPr>
    </w:p>
    <w:p w14:paraId="4FF78295" w14:textId="627B5181" w:rsidR="00FC14CB" w:rsidRPr="00F04851" w:rsidRDefault="00EF2B3A" w:rsidP="005E1EE2">
      <w:pPr>
        <w:ind w:left="4956" w:firstLine="708"/>
        <w:contextualSpacing/>
        <w:jc w:val="both"/>
        <w:rPr>
          <w:rFonts w:ascii="Bookman Old Style" w:hAnsi="Bookman Old Style" w:cstheme="minorHAnsi"/>
        </w:rPr>
      </w:pPr>
      <w:r w:rsidRPr="00F04851">
        <w:rPr>
          <w:rFonts w:ascii="Bookman Old Style" w:hAnsi="Bookman Old Style" w:cstheme="minorHAnsi"/>
        </w:rPr>
        <w:t xml:space="preserve">  </w:t>
      </w:r>
      <w:r w:rsidR="00482A7A" w:rsidRPr="00F04851">
        <w:rPr>
          <w:rFonts w:ascii="Bookman Old Style" w:hAnsi="Bookman Old Style" w:cstheme="minorHAnsi"/>
        </w:rPr>
        <w:t>___</w:t>
      </w:r>
      <w:r w:rsidR="00FC14CB" w:rsidRPr="00F04851">
        <w:rPr>
          <w:rFonts w:ascii="Bookman Old Style" w:hAnsi="Bookman Old Style" w:cstheme="minorHAnsi"/>
        </w:rPr>
        <w:t>___________________</w:t>
      </w:r>
    </w:p>
    <w:p w14:paraId="168D4152" w14:textId="77777777" w:rsidR="00752CCF"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5C59" w14:textId="77777777" w:rsidR="002D17D1" w:rsidRDefault="002D17D1">
      <w:r>
        <w:separator/>
      </w:r>
    </w:p>
  </w:endnote>
  <w:endnote w:type="continuationSeparator" w:id="0">
    <w:p w14:paraId="5A9A0920" w14:textId="77777777" w:rsidR="002D17D1" w:rsidRDefault="002D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D4FB" w14:textId="77777777" w:rsidR="002D17D1" w:rsidRPr="001F4B49" w:rsidRDefault="002D17D1">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BC44C9">
      <w:rPr>
        <w:rFonts w:asciiTheme="minorHAnsi" w:hAnsiTheme="minorHAnsi" w:cstheme="minorHAnsi"/>
        <w:noProof/>
      </w:rPr>
      <w:t>5</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BC44C9">
      <w:rPr>
        <w:rFonts w:asciiTheme="minorHAnsi" w:hAnsiTheme="minorHAnsi" w:cstheme="minorHAnsi"/>
        <w:noProof/>
      </w:rPr>
      <w:t>5</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9CB5" w14:textId="77777777" w:rsidR="002D17D1" w:rsidRDefault="002D17D1">
      <w:r>
        <w:separator/>
      </w:r>
    </w:p>
  </w:footnote>
  <w:footnote w:type="continuationSeparator" w:id="0">
    <w:p w14:paraId="4B3A54F5" w14:textId="77777777" w:rsidR="002D17D1" w:rsidRDefault="002D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7C3" w14:textId="77777777" w:rsidR="002D17D1" w:rsidRDefault="002D17D1">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76880"/>
    <w:multiLevelType w:val="hybridMultilevel"/>
    <w:tmpl w:val="D3D2E186"/>
    <w:lvl w:ilvl="0" w:tplc="107CA4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03ED4"/>
    <w:multiLevelType w:val="hybridMultilevel"/>
    <w:tmpl w:val="5DDE634C"/>
    <w:lvl w:ilvl="0" w:tplc="2A3CC962">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16cid:durableId="849099474">
    <w:abstractNumId w:val="4"/>
  </w:num>
  <w:num w:numId="2" w16cid:durableId="4553097">
    <w:abstractNumId w:val="9"/>
  </w:num>
  <w:num w:numId="3" w16cid:durableId="1659765686">
    <w:abstractNumId w:val="8"/>
  </w:num>
  <w:num w:numId="4" w16cid:durableId="1041512787">
    <w:abstractNumId w:val="5"/>
  </w:num>
  <w:num w:numId="5" w16cid:durableId="267588015">
    <w:abstractNumId w:val="1"/>
  </w:num>
  <w:num w:numId="6" w16cid:durableId="820662053">
    <w:abstractNumId w:val="6"/>
  </w:num>
  <w:num w:numId="7" w16cid:durableId="748770832">
    <w:abstractNumId w:val="2"/>
  </w:num>
  <w:num w:numId="8" w16cid:durableId="1468234625">
    <w:abstractNumId w:val="10"/>
  </w:num>
  <w:num w:numId="9" w16cid:durableId="2073038249">
    <w:abstractNumId w:val="7"/>
  </w:num>
  <w:num w:numId="10" w16cid:durableId="100054745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54DE"/>
    <w:rsid w:val="00005B51"/>
    <w:rsid w:val="0000759C"/>
    <w:rsid w:val="00011794"/>
    <w:rsid w:val="000136BF"/>
    <w:rsid w:val="000244DE"/>
    <w:rsid w:val="00027AE5"/>
    <w:rsid w:val="00033498"/>
    <w:rsid w:val="00046529"/>
    <w:rsid w:val="0005097C"/>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72A47"/>
    <w:rsid w:val="00181D72"/>
    <w:rsid w:val="00191DFD"/>
    <w:rsid w:val="001934CD"/>
    <w:rsid w:val="001B7E1B"/>
    <w:rsid w:val="001C4EDC"/>
    <w:rsid w:val="001C643A"/>
    <w:rsid w:val="001D044F"/>
    <w:rsid w:val="001D482C"/>
    <w:rsid w:val="001E0782"/>
    <w:rsid w:val="001E4D38"/>
    <w:rsid w:val="001F1DDB"/>
    <w:rsid w:val="001F21E9"/>
    <w:rsid w:val="001F4B49"/>
    <w:rsid w:val="002000B4"/>
    <w:rsid w:val="002003B8"/>
    <w:rsid w:val="00205A5E"/>
    <w:rsid w:val="00206B4B"/>
    <w:rsid w:val="00210D2D"/>
    <w:rsid w:val="00215DD3"/>
    <w:rsid w:val="0021630A"/>
    <w:rsid w:val="00217602"/>
    <w:rsid w:val="00224EA5"/>
    <w:rsid w:val="00225E61"/>
    <w:rsid w:val="00250936"/>
    <w:rsid w:val="00255EB9"/>
    <w:rsid w:val="002567E9"/>
    <w:rsid w:val="00264768"/>
    <w:rsid w:val="002672E9"/>
    <w:rsid w:val="00274FF6"/>
    <w:rsid w:val="002813A9"/>
    <w:rsid w:val="00292CB0"/>
    <w:rsid w:val="00292E7B"/>
    <w:rsid w:val="002A4547"/>
    <w:rsid w:val="002C36CC"/>
    <w:rsid w:val="002C6A53"/>
    <w:rsid w:val="002D14C7"/>
    <w:rsid w:val="002D17D1"/>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6B2F"/>
    <w:rsid w:val="00375195"/>
    <w:rsid w:val="00377C62"/>
    <w:rsid w:val="00384A52"/>
    <w:rsid w:val="003B0ED9"/>
    <w:rsid w:val="003B0FC8"/>
    <w:rsid w:val="003B60DF"/>
    <w:rsid w:val="003D2386"/>
    <w:rsid w:val="003D3662"/>
    <w:rsid w:val="003D4742"/>
    <w:rsid w:val="003F377C"/>
    <w:rsid w:val="003F6A25"/>
    <w:rsid w:val="00403A7D"/>
    <w:rsid w:val="004152E6"/>
    <w:rsid w:val="00425763"/>
    <w:rsid w:val="00425CCC"/>
    <w:rsid w:val="00431EA9"/>
    <w:rsid w:val="004322F9"/>
    <w:rsid w:val="00432CF2"/>
    <w:rsid w:val="00442FAB"/>
    <w:rsid w:val="00450061"/>
    <w:rsid w:val="00470F80"/>
    <w:rsid w:val="004761F5"/>
    <w:rsid w:val="0047702A"/>
    <w:rsid w:val="00482A7A"/>
    <w:rsid w:val="004A76B2"/>
    <w:rsid w:val="004B1CE9"/>
    <w:rsid w:val="004B6B4C"/>
    <w:rsid w:val="004D6010"/>
    <w:rsid w:val="004E2941"/>
    <w:rsid w:val="004E2AAA"/>
    <w:rsid w:val="004E43C7"/>
    <w:rsid w:val="004F0737"/>
    <w:rsid w:val="00503429"/>
    <w:rsid w:val="00505F87"/>
    <w:rsid w:val="0054183F"/>
    <w:rsid w:val="00543C48"/>
    <w:rsid w:val="00545C86"/>
    <w:rsid w:val="00547215"/>
    <w:rsid w:val="00557A7C"/>
    <w:rsid w:val="005713EA"/>
    <w:rsid w:val="0057372F"/>
    <w:rsid w:val="00580A2B"/>
    <w:rsid w:val="00586571"/>
    <w:rsid w:val="00587AE8"/>
    <w:rsid w:val="00594DF9"/>
    <w:rsid w:val="00596B57"/>
    <w:rsid w:val="005A1F69"/>
    <w:rsid w:val="005A3DD9"/>
    <w:rsid w:val="005C0B0A"/>
    <w:rsid w:val="005C1A1D"/>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6F6A7C"/>
    <w:rsid w:val="007020CB"/>
    <w:rsid w:val="007154BB"/>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03BD"/>
    <w:rsid w:val="008B1710"/>
    <w:rsid w:val="008B3E4A"/>
    <w:rsid w:val="008B5E59"/>
    <w:rsid w:val="008C3B37"/>
    <w:rsid w:val="008C4A7F"/>
    <w:rsid w:val="008C5D0A"/>
    <w:rsid w:val="008D06A0"/>
    <w:rsid w:val="008D490D"/>
    <w:rsid w:val="008D4C2E"/>
    <w:rsid w:val="008E3B08"/>
    <w:rsid w:val="008F1017"/>
    <w:rsid w:val="008F127C"/>
    <w:rsid w:val="008F243E"/>
    <w:rsid w:val="00904902"/>
    <w:rsid w:val="0090755E"/>
    <w:rsid w:val="00910854"/>
    <w:rsid w:val="00925668"/>
    <w:rsid w:val="00961922"/>
    <w:rsid w:val="00995814"/>
    <w:rsid w:val="0099630D"/>
    <w:rsid w:val="009A0632"/>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57176"/>
    <w:rsid w:val="00B71AC1"/>
    <w:rsid w:val="00B76558"/>
    <w:rsid w:val="00B822BA"/>
    <w:rsid w:val="00B91113"/>
    <w:rsid w:val="00BA739C"/>
    <w:rsid w:val="00BB3D0C"/>
    <w:rsid w:val="00BC3F11"/>
    <w:rsid w:val="00BC44C9"/>
    <w:rsid w:val="00BF145B"/>
    <w:rsid w:val="00C03714"/>
    <w:rsid w:val="00C31411"/>
    <w:rsid w:val="00C3175E"/>
    <w:rsid w:val="00C3456E"/>
    <w:rsid w:val="00C477FC"/>
    <w:rsid w:val="00C53ED4"/>
    <w:rsid w:val="00C540CC"/>
    <w:rsid w:val="00C572AD"/>
    <w:rsid w:val="00C60BC9"/>
    <w:rsid w:val="00C66FB8"/>
    <w:rsid w:val="00C717CB"/>
    <w:rsid w:val="00C73B6B"/>
    <w:rsid w:val="00C85B0B"/>
    <w:rsid w:val="00C860C8"/>
    <w:rsid w:val="00C94050"/>
    <w:rsid w:val="00CB5BCF"/>
    <w:rsid w:val="00CC7704"/>
    <w:rsid w:val="00CC7E81"/>
    <w:rsid w:val="00CD5580"/>
    <w:rsid w:val="00CE6600"/>
    <w:rsid w:val="00CE74E2"/>
    <w:rsid w:val="00CF0E9A"/>
    <w:rsid w:val="00CF552B"/>
    <w:rsid w:val="00D1081D"/>
    <w:rsid w:val="00D12517"/>
    <w:rsid w:val="00D27101"/>
    <w:rsid w:val="00D302C1"/>
    <w:rsid w:val="00D307D5"/>
    <w:rsid w:val="00D35BA0"/>
    <w:rsid w:val="00D44272"/>
    <w:rsid w:val="00D5516A"/>
    <w:rsid w:val="00D55197"/>
    <w:rsid w:val="00D667FC"/>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70788"/>
    <w:rsid w:val="00E75D33"/>
    <w:rsid w:val="00E7753E"/>
    <w:rsid w:val="00E77D7B"/>
    <w:rsid w:val="00E80EFA"/>
    <w:rsid w:val="00E905B0"/>
    <w:rsid w:val="00EA2D73"/>
    <w:rsid w:val="00EB1FF6"/>
    <w:rsid w:val="00EC1E96"/>
    <w:rsid w:val="00EC7833"/>
    <w:rsid w:val="00ED05AB"/>
    <w:rsid w:val="00ED26D3"/>
    <w:rsid w:val="00ED740B"/>
    <w:rsid w:val="00EE2C90"/>
    <w:rsid w:val="00EF2B3A"/>
    <w:rsid w:val="00EF7478"/>
    <w:rsid w:val="00F04851"/>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260023485">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F8AD-AA52-43B1-B2EB-74A35F7E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1822</Words>
  <Characters>10388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12186</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Silvia Tirelli</cp:lastModifiedBy>
  <cp:revision>10</cp:revision>
  <cp:lastPrinted>2022-11-21T08:17:00Z</cp:lastPrinted>
  <dcterms:created xsi:type="dcterms:W3CDTF">2024-08-07T09:51:00Z</dcterms:created>
  <dcterms:modified xsi:type="dcterms:W3CDTF">2025-10-31T10:24:00Z</dcterms:modified>
</cp:coreProperties>
</file>